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657A1C" w:rsidRDefault="00D1062E" w:rsidP="00D1062E">
      <w:pPr>
        <w:pStyle w:val="TxBrp1"/>
        <w:spacing w:line="240" w:lineRule="auto"/>
        <w:ind w:hanging="34"/>
        <w:jc w:val="right"/>
        <w:rPr>
          <w:rFonts w:asciiTheme="minorHAnsi" w:hAnsiTheme="minorHAnsi" w:cs="Arial"/>
          <w:sz w:val="22"/>
          <w:szCs w:val="22"/>
        </w:rPr>
      </w:pPr>
    </w:p>
    <w:p w:rsidR="00D1062E" w:rsidRPr="00657A1C" w:rsidRDefault="000000F9" w:rsidP="00D1062E">
      <w:pPr>
        <w:pStyle w:val="TxBrp1"/>
        <w:spacing w:line="240" w:lineRule="auto"/>
        <w:ind w:hanging="34"/>
        <w:jc w:val="center"/>
        <w:rPr>
          <w:rFonts w:asciiTheme="minorHAnsi" w:hAnsiTheme="minorHAnsi" w:cs="Arial"/>
          <w:sz w:val="22"/>
          <w:szCs w:val="22"/>
        </w:rPr>
      </w:pPr>
      <w:r w:rsidRPr="00657A1C">
        <w:rPr>
          <w:rFonts w:asciiTheme="minorHAnsi" w:hAnsiTheme="minorHAnsi"/>
          <w:sz w:val="22"/>
          <w:szCs w:val="22"/>
          <w:u w:val="single"/>
        </w:rPr>
        <w:t>Tapis de</w:t>
      </w:r>
      <w:r w:rsidR="00AE3CBB" w:rsidRPr="00657A1C">
        <w:rPr>
          <w:rFonts w:asciiTheme="minorHAnsi" w:hAnsiTheme="minorHAnsi"/>
          <w:sz w:val="22"/>
          <w:szCs w:val="22"/>
          <w:u w:val="single"/>
        </w:rPr>
        <w:t xml:space="preserve"> propreté avec logo imprimé</w:t>
      </w:r>
    </w:p>
    <w:p w:rsidR="00D1062E" w:rsidRPr="00657A1C" w:rsidRDefault="00D1062E" w:rsidP="00D1062E">
      <w:pPr>
        <w:pStyle w:val="TxBrp1"/>
        <w:spacing w:line="240" w:lineRule="auto"/>
        <w:ind w:left="0" w:firstLine="0"/>
        <w:rPr>
          <w:rFonts w:asciiTheme="minorHAnsi" w:hAnsiTheme="minorHAnsi" w:cs="Arial"/>
          <w:sz w:val="22"/>
          <w:szCs w:val="22"/>
        </w:rPr>
      </w:pPr>
      <w:r w:rsidRPr="00657A1C">
        <w:rPr>
          <w:rFonts w:asciiTheme="minorHAnsi" w:hAnsiTheme="minorHAnsi"/>
          <w:sz w:val="22"/>
          <w:szCs w:val="22"/>
        </w:rPr>
        <w:t xml:space="preserve">                                </w:t>
      </w:r>
    </w:p>
    <w:p w:rsidR="00D1062E" w:rsidRPr="00657A1C" w:rsidRDefault="00D1062E" w:rsidP="00D1062E">
      <w:pPr>
        <w:pStyle w:val="TxBrp1"/>
        <w:spacing w:line="240" w:lineRule="auto"/>
        <w:ind w:left="0" w:firstLine="0"/>
        <w:rPr>
          <w:rFonts w:asciiTheme="minorHAnsi" w:hAnsiTheme="minorHAnsi" w:cs="Arial"/>
          <w:sz w:val="22"/>
          <w:szCs w:val="22"/>
        </w:rPr>
      </w:pPr>
    </w:p>
    <w:p w:rsidR="00AE718A" w:rsidRPr="00657A1C" w:rsidRDefault="00AE718A" w:rsidP="00AE718A">
      <w:pPr>
        <w:pStyle w:val="TxBrp1"/>
        <w:spacing w:line="240" w:lineRule="auto"/>
        <w:ind w:left="0" w:firstLine="0"/>
        <w:rPr>
          <w:rFonts w:asciiTheme="minorHAnsi" w:hAnsiTheme="minorHAnsi" w:cs="Arial"/>
          <w:sz w:val="22"/>
          <w:szCs w:val="22"/>
        </w:rPr>
      </w:pPr>
      <w:r w:rsidRPr="00657A1C">
        <w:rPr>
          <w:rFonts w:asciiTheme="minorHAnsi" w:hAnsiTheme="minorHAnsi"/>
          <w:sz w:val="22"/>
          <w:szCs w:val="22"/>
        </w:rPr>
        <w:t>Mesure</w:t>
      </w:r>
      <w:r w:rsidR="00F13CA1" w:rsidRPr="00657A1C">
        <w:rPr>
          <w:rFonts w:asciiTheme="minorHAnsi" w:hAnsiTheme="minorHAnsi"/>
          <w:sz w:val="22"/>
          <w:szCs w:val="22"/>
        </w:rPr>
        <w:t> </w:t>
      </w:r>
      <w:r w:rsidRPr="00657A1C">
        <w:rPr>
          <w:rFonts w:asciiTheme="minorHAnsi" w:hAnsiTheme="minorHAnsi"/>
          <w:sz w:val="22"/>
          <w:szCs w:val="22"/>
        </w:rPr>
        <w:t>: m², par mètre carré, selon type</w:t>
      </w:r>
    </w:p>
    <w:p w:rsidR="00AE718A" w:rsidRPr="00657A1C" w:rsidRDefault="00AE718A" w:rsidP="00AE718A">
      <w:pPr>
        <w:pStyle w:val="TxBrp1"/>
        <w:spacing w:line="240" w:lineRule="auto"/>
        <w:ind w:left="0" w:firstLine="0"/>
        <w:rPr>
          <w:rFonts w:asciiTheme="minorHAnsi" w:hAnsiTheme="minorHAnsi" w:cs="Arial"/>
          <w:sz w:val="22"/>
          <w:szCs w:val="22"/>
        </w:rPr>
      </w:pPr>
      <w:r w:rsidRPr="00657A1C">
        <w:rPr>
          <w:rFonts w:asciiTheme="minorHAnsi" w:hAnsiTheme="minorHAnsi"/>
          <w:sz w:val="22"/>
          <w:szCs w:val="22"/>
        </w:rPr>
        <w:t>Code de mesure</w:t>
      </w:r>
      <w:r w:rsidR="00F13CA1" w:rsidRPr="00657A1C">
        <w:rPr>
          <w:rFonts w:asciiTheme="minorHAnsi" w:hAnsiTheme="minorHAnsi"/>
          <w:sz w:val="22"/>
          <w:szCs w:val="22"/>
        </w:rPr>
        <w:t> </w:t>
      </w:r>
      <w:r w:rsidRPr="00657A1C">
        <w:rPr>
          <w:rFonts w:asciiTheme="minorHAnsi" w:hAnsiTheme="minorHAnsi"/>
          <w:sz w:val="22"/>
          <w:szCs w:val="22"/>
        </w:rPr>
        <w:t>: surface nette</w:t>
      </w:r>
    </w:p>
    <w:p w:rsidR="00AE718A" w:rsidRDefault="00AE718A" w:rsidP="00AE718A">
      <w:pPr>
        <w:pStyle w:val="TxBrp1"/>
        <w:spacing w:line="240" w:lineRule="auto"/>
        <w:ind w:left="0" w:firstLine="0"/>
        <w:rPr>
          <w:rFonts w:asciiTheme="minorHAnsi" w:hAnsiTheme="minorHAnsi" w:cs="Arial"/>
          <w:sz w:val="22"/>
          <w:szCs w:val="22"/>
        </w:rPr>
      </w:pPr>
    </w:p>
    <w:p w:rsidR="00657A1C" w:rsidRPr="00657A1C" w:rsidRDefault="00657A1C" w:rsidP="00AE718A">
      <w:pPr>
        <w:pStyle w:val="TxBrp1"/>
        <w:spacing w:line="240" w:lineRule="auto"/>
        <w:ind w:left="0" w:firstLine="0"/>
        <w:rPr>
          <w:rFonts w:asciiTheme="minorHAnsi" w:hAnsiTheme="minorHAnsi" w:cs="Arial"/>
          <w:sz w:val="22"/>
          <w:szCs w:val="22"/>
        </w:rPr>
      </w:pPr>
    </w:p>
    <w:p w:rsidR="00AE718A" w:rsidRPr="00657A1C" w:rsidRDefault="00AE718A" w:rsidP="00AE718A">
      <w:pPr>
        <w:pStyle w:val="TxBrp1"/>
        <w:spacing w:line="240" w:lineRule="auto"/>
        <w:ind w:left="0" w:firstLine="0"/>
        <w:rPr>
          <w:rFonts w:asciiTheme="minorHAnsi" w:hAnsiTheme="minorHAnsi" w:cs="Arial"/>
          <w:sz w:val="22"/>
          <w:szCs w:val="22"/>
        </w:rPr>
      </w:pPr>
      <w:r w:rsidRPr="00657A1C">
        <w:rPr>
          <w:rFonts w:asciiTheme="minorHAnsi" w:hAnsiTheme="minorHAnsi"/>
          <w:sz w:val="22"/>
          <w:szCs w:val="22"/>
          <w:u w:val="single"/>
        </w:rPr>
        <w:t>Matériau</w:t>
      </w:r>
    </w:p>
    <w:p w:rsidR="00657A1C" w:rsidRDefault="00657A1C" w:rsidP="000000F9">
      <w:pPr>
        <w:rPr>
          <w:rFonts w:asciiTheme="minorHAnsi" w:hAnsiTheme="minorHAnsi" w:cs="Arial"/>
          <w:sz w:val="22"/>
          <w:szCs w:val="22"/>
        </w:rPr>
      </w:pPr>
    </w:p>
    <w:p w:rsidR="000000F9" w:rsidRPr="00657A1C" w:rsidRDefault="000000F9" w:rsidP="000000F9">
      <w:pPr>
        <w:rPr>
          <w:rFonts w:asciiTheme="minorHAnsi" w:hAnsiTheme="minorHAnsi" w:cs="Arial"/>
          <w:sz w:val="22"/>
          <w:szCs w:val="22"/>
        </w:rPr>
      </w:pPr>
      <w:r w:rsidRPr="00657A1C">
        <w:rPr>
          <w:rFonts w:asciiTheme="minorHAnsi" w:hAnsiTheme="minorHAnsi" w:cs="Arial"/>
          <w:sz w:val="22"/>
          <w:szCs w:val="22"/>
        </w:rPr>
        <w:t>Le paillasson est un tapis de pro</w:t>
      </w:r>
      <w:r w:rsidR="00AE3CBB" w:rsidRPr="00657A1C">
        <w:rPr>
          <w:rFonts w:asciiTheme="minorHAnsi" w:hAnsiTheme="minorHAnsi" w:cs="Arial"/>
          <w:sz w:val="22"/>
          <w:szCs w:val="22"/>
        </w:rPr>
        <w:t xml:space="preserve">preté </w:t>
      </w:r>
      <w:proofErr w:type="spellStart"/>
      <w:r w:rsidR="00AE3CBB" w:rsidRPr="00657A1C">
        <w:rPr>
          <w:rFonts w:asciiTheme="minorHAnsi" w:hAnsiTheme="minorHAnsi" w:cs="Arial"/>
          <w:sz w:val="22"/>
          <w:szCs w:val="22"/>
        </w:rPr>
        <w:t>tufté</w:t>
      </w:r>
      <w:proofErr w:type="spellEnd"/>
      <w:r w:rsidR="00AE3CBB" w:rsidRPr="00657A1C">
        <w:rPr>
          <w:rFonts w:asciiTheme="minorHAnsi" w:hAnsiTheme="minorHAnsi" w:cs="Arial"/>
          <w:sz w:val="22"/>
          <w:szCs w:val="22"/>
        </w:rPr>
        <w:t xml:space="preserve"> (velours coupé, 1/8</w:t>
      </w:r>
      <w:r w:rsidRPr="00657A1C">
        <w:rPr>
          <w:rFonts w:asciiTheme="minorHAnsi" w:hAnsiTheme="minorHAnsi" w:cs="Arial"/>
          <w:sz w:val="22"/>
          <w:szCs w:val="22"/>
        </w:rPr>
        <w:t xml:space="preserve">”) </w:t>
      </w:r>
      <w:r w:rsidR="00AE3CBB" w:rsidRPr="00657A1C">
        <w:rPr>
          <w:rFonts w:asciiTheme="minorHAnsi" w:hAnsiTheme="minorHAnsi" w:cs="Arial"/>
          <w:sz w:val="22"/>
          <w:szCs w:val="22"/>
        </w:rPr>
        <w:t>avec logo imprimé,</w:t>
      </w:r>
      <w:r w:rsidR="00657A1C">
        <w:rPr>
          <w:rFonts w:asciiTheme="minorHAnsi" w:hAnsiTheme="minorHAnsi" w:cs="Arial"/>
          <w:sz w:val="22"/>
          <w:szCs w:val="22"/>
        </w:rPr>
        <w:t xml:space="preserve"> </w:t>
      </w:r>
      <w:r w:rsidR="00AE3CBB" w:rsidRPr="00657A1C">
        <w:rPr>
          <w:rFonts w:asciiTheme="minorHAnsi" w:hAnsiTheme="minorHAnsi" w:cs="Arial"/>
          <w:sz w:val="22"/>
          <w:szCs w:val="22"/>
        </w:rPr>
        <w:t>idéal pour les dessins compliques avec une multitude de couleurs.</w:t>
      </w:r>
    </w:p>
    <w:p w:rsidR="00AE718A" w:rsidRPr="00657A1C" w:rsidRDefault="00AE718A" w:rsidP="00AE718A">
      <w:pPr>
        <w:pStyle w:val="TxBrp1"/>
        <w:spacing w:line="240" w:lineRule="auto"/>
        <w:ind w:left="0" w:firstLine="0"/>
        <w:rPr>
          <w:rFonts w:asciiTheme="minorHAnsi" w:hAnsiTheme="minorHAnsi" w:cs="Arial"/>
          <w:sz w:val="22"/>
          <w:szCs w:val="22"/>
        </w:rPr>
      </w:pPr>
    </w:p>
    <w:p w:rsidR="00657A1C" w:rsidRPr="00B36E43" w:rsidRDefault="00657A1C" w:rsidP="00657A1C">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657A1C" w:rsidRPr="00B36E43" w:rsidRDefault="00657A1C" w:rsidP="00657A1C">
      <w:pPr>
        <w:rPr>
          <w:rFonts w:asciiTheme="minorHAnsi" w:hAnsiTheme="minorHAnsi"/>
          <w:sz w:val="22"/>
          <w:szCs w:val="22"/>
        </w:rPr>
      </w:pPr>
    </w:p>
    <w:p w:rsidR="00657A1C" w:rsidRPr="00B36E43" w:rsidRDefault="00657A1C" w:rsidP="00657A1C">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182A72" w:rsidRDefault="00182A72" w:rsidP="00D1062E">
      <w:pPr>
        <w:rPr>
          <w:rFonts w:asciiTheme="minorHAnsi" w:hAnsiTheme="minorHAnsi" w:cs="Arial"/>
          <w:sz w:val="22"/>
          <w:szCs w:val="22"/>
        </w:rPr>
      </w:pPr>
    </w:p>
    <w:p w:rsidR="00657A1C" w:rsidRPr="00657A1C" w:rsidRDefault="00657A1C" w:rsidP="00D1062E">
      <w:pPr>
        <w:rPr>
          <w:rFonts w:asciiTheme="minorHAnsi" w:hAnsiTheme="minorHAnsi" w:cs="Arial"/>
          <w:sz w:val="22"/>
          <w:szCs w:val="22"/>
        </w:rPr>
      </w:pPr>
    </w:p>
    <w:p w:rsidR="00D1062E" w:rsidRPr="00657A1C" w:rsidRDefault="00D1062E" w:rsidP="00D1062E">
      <w:pPr>
        <w:pStyle w:val="TxBrp4"/>
        <w:spacing w:line="240" w:lineRule="auto"/>
        <w:rPr>
          <w:rFonts w:asciiTheme="minorHAnsi" w:hAnsiTheme="minorHAnsi"/>
          <w:sz w:val="22"/>
          <w:szCs w:val="22"/>
          <w:u w:val="single"/>
        </w:rPr>
      </w:pPr>
      <w:r w:rsidRPr="00657A1C">
        <w:rPr>
          <w:rFonts w:asciiTheme="minorHAnsi" w:hAnsiTheme="minorHAnsi"/>
          <w:sz w:val="22"/>
          <w:szCs w:val="22"/>
          <w:u w:val="single"/>
        </w:rPr>
        <w:t>Spécif</w:t>
      </w:r>
      <w:r w:rsidR="000000F9" w:rsidRPr="00657A1C">
        <w:rPr>
          <w:rFonts w:asciiTheme="minorHAnsi" w:hAnsiTheme="minorHAnsi"/>
          <w:sz w:val="22"/>
          <w:szCs w:val="22"/>
          <w:u w:val="single"/>
        </w:rPr>
        <w:t xml:space="preserve">ications techniques </w:t>
      </w:r>
    </w:p>
    <w:p w:rsidR="0056333E" w:rsidRDefault="0056333E" w:rsidP="00D1062E">
      <w:pPr>
        <w:pStyle w:val="TxBrp4"/>
        <w:spacing w:line="240" w:lineRule="auto"/>
        <w:rPr>
          <w:rFonts w:asciiTheme="minorHAnsi" w:hAnsiTheme="minorHAnsi" w:cs="Arial"/>
          <w:sz w:val="22"/>
          <w:szCs w:val="22"/>
        </w:rPr>
      </w:pPr>
    </w:p>
    <w:tbl>
      <w:tblPr>
        <w:tblStyle w:val="Tabelraster"/>
        <w:tblW w:w="0" w:type="auto"/>
        <w:tblLook w:val="04A0" w:firstRow="1" w:lastRow="0" w:firstColumn="1" w:lastColumn="0" w:noHBand="0" w:noVBand="1"/>
      </w:tblPr>
      <w:tblGrid>
        <w:gridCol w:w="3256"/>
        <w:gridCol w:w="1843"/>
        <w:gridCol w:w="3543"/>
      </w:tblGrid>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ISO 1765</w:t>
            </w:r>
          </w:p>
        </w:tc>
        <w:tc>
          <w:tcPr>
            <w:tcW w:w="3543" w:type="dxa"/>
          </w:tcPr>
          <w:p w:rsidR="00657A1C" w:rsidRPr="00B36E43" w:rsidRDefault="00657A1C" w:rsidP="00F762D2">
            <w:pPr>
              <w:rPr>
                <w:rFonts w:asciiTheme="minorHAnsi" w:hAnsiTheme="minorHAnsi"/>
                <w:sz w:val="22"/>
                <w:szCs w:val="22"/>
              </w:rPr>
            </w:pPr>
            <w:r>
              <w:rPr>
                <w:rFonts w:asciiTheme="minorHAnsi" w:hAnsiTheme="minorHAnsi"/>
                <w:sz w:val="22"/>
                <w:szCs w:val="22"/>
              </w:rPr>
              <w:t>8</w:t>
            </w:r>
            <w:r w:rsidRPr="00B36E43">
              <w:rPr>
                <w:rFonts w:asciiTheme="minorHAnsi" w:hAnsiTheme="minorHAnsi"/>
                <w:sz w:val="22"/>
                <w:szCs w:val="22"/>
              </w:rPr>
              <w:t xml:space="preserve"> mm environ</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Classement</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EN 1307</w:t>
            </w:r>
          </w:p>
        </w:tc>
        <w:tc>
          <w:tcPr>
            <w:tcW w:w="3543" w:type="dxa"/>
          </w:tcPr>
          <w:p w:rsidR="00657A1C" w:rsidRPr="00B36E43" w:rsidRDefault="00657A1C" w:rsidP="00F762D2">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Couleurs</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657A1C" w:rsidP="00F762D2">
            <w:pPr>
              <w:rPr>
                <w:rFonts w:asciiTheme="minorHAnsi" w:hAnsiTheme="minorHAnsi"/>
                <w:sz w:val="22"/>
                <w:szCs w:val="22"/>
              </w:rPr>
            </w:pPr>
            <w:r>
              <w:rPr>
                <w:rFonts w:asciiTheme="minorHAnsi" w:hAnsiTheme="minorHAnsi"/>
                <w:sz w:val="22"/>
                <w:szCs w:val="22"/>
              </w:rPr>
              <w:t>42</w:t>
            </w:r>
          </w:p>
        </w:tc>
      </w:tr>
      <w:tr w:rsidR="00657A1C" w:rsidRPr="00B36E43" w:rsidTr="00F762D2">
        <w:tc>
          <w:tcPr>
            <w:tcW w:w="3256" w:type="dxa"/>
          </w:tcPr>
          <w:p w:rsidR="00657A1C" w:rsidRPr="00B36E43" w:rsidRDefault="00657A1C" w:rsidP="00F762D2">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657A1C" w:rsidP="00F762D2">
            <w:pPr>
              <w:rPr>
                <w:rFonts w:asciiTheme="minorHAnsi" w:hAnsiTheme="minorHAnsi"/>
                <w:sz w:val="22"/>
                <w:szCs w:val="22"/>
              </w:rPr>
            </w:pP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657A1C" w:rsidP="00F762D2">
            <w:pPr>
              <w:rPr>
                <w:rFonts w:asciiTheme="minorHAnsi" w:hAnsiTheme="minorHAnsi"/>
                <w:sz w:val="22"/>
                <w:szCs w:val="22"/>
              </w:rPr>
            </w:pPr>
            <w:r>
              <w:rPr>
                <w:rFonts w:asciiTheme="minorHAnsi" w:hAnsiTheme="minorHAnsi"/>
                <w:sz w:val="22"/>
                <w:szCs w:val="22"/>
              </w:rPr>
              <w:t>Toute largeur jusqu’à 200 cm</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657A1C" w:rsidP="00F762D2">
            <w:pPr>
              <w:rPr>
                <w:rFonts w:asciiTheme="minorHAnsi" w:hAnsiTheme="minorHAnsi"/>
                <w:sz w:val="22"/>
                <w:szCs w:val="22"/>
              </w:rPr>
            </w:pPr>
            <w:r>
              <w:rPr>
                <w:rFonts w:asciiTheme="minorHAnsi" w:hAnsiTheme="minorHAnsi"/>
                <w:sz w:val="22"/>
                <w:szCs w:val="22"/>
              </w:rPr>
              <w:t>Toute longueur</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Les tapis ont une bordure de 2,5 cm sur le pourtour</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Default="00657A1C" w:rsidP="00F762D2">
            <w:pPr>
              <w:rPr>
                <w:rFonts w:asciiTheme="minorHAnsi" w:hAnsiTheme="minorHAnsi"/>
                <w:sz w:val="22"/>
                <w:szCs w:val="22"/>
              </w:rPr>
            </w:pPr>
            <w:r>
              <w:rPr>
                <w:rFonts w:asciiTheme="minorHAnsi" w:hAnsiTheme="minorHAnsi"/>
                <w:sz w:val="22"/>
                <w:szCs w:val="22"/>
              </w:rPr>
              <w:t>55 x 90</w:t>
            </w:r>
            <w:r w:rsidRPr="00B36E43">
              <w:rPr>
                <w:rFonts w:asciiTheme="minorHAnsi" w:hAnsiTheme="minorHAnsi"/>
                <w:sz w:val="22"/>
                <w:szCs w:val="22"/>
              </w:rPr>
              <w:t xml:space="preserve"> cm</w:t>
            </w:r>
          </w:p>
          <w:p w:rsidR="00657A1C" w:rsidRDefault="007E3310" w:rsidP="00F762D2">
            <w:pPr>
              <w:rPr>
                <w:rFonts w:asciiTheme="minorHAnsi" w:hAnsiTheme="minorHAnsi"/>
                <w:sz w:val="22"/>
                <w:szCs w:val="22"/>
              </w:rPr>
            </w:pPr>
            <w:r>
              <w:rPr>
                <w:rFonts w:asciiTheme="minorHAnsi" w:hAnsiTheme="minorHAnsi"/>
                <w:sz w:val="22"/>
                <w:szCs w:val="22"/>
              </w:rPr>
              <w:t>105 x 155 cm</w:t>
            </w:r>
          </w:p>
          <w:p w:rsidR="007E3310" w:rsidRDefault="007E3310" w:rsidP="00F762D2">
            <w:pPr>
              <w:rPr>
                <w:rFonts w:asciiTheme="minorHAnsi" w:hAnsiTheme="minorHAnsi"/>
                <w:sz w:val="22"/>
                <w:szCs w:val="22"/>
              </w:rPr>
            </w:pPr>
            <w:r>
              <w:rPr>
                <w:rFonts w:asciiTheme="minorHAnsi" w:hAnsiTheme="minorHAnsi"/>
                <w:sz w:val="22"/>
                <w:szCs w:val="22"/>
              </w:rPr>
              <w:t>105 x 300 cm</w:t>
            </w:r>
          </w:p>
          <w:p w:rsidR="007E3310" w:rsidRDefault="007E3310" w:rsidP="00F762D2">
            <w:pPr>
              <w:rPr>
                <w:rFonts w:asciiTheme="minorHAnsi" w:hAnsiTheme="minorHAnsi"/>
                <w:sz w:val="22"/>
                <w:szCs w:val="22"/>
              </w:rPr>
            </w:pPr>
            <w:r>
              <w:rPr>
                <w:rFonts w:asciiTheme="minorHAnsi" w:hAnsiTheme="minorHAnsi"/>
                <w:sz w:val="22"/>
                <w:szCs w:val="22"/>
              </w:rPr>
              <w:t>155 x 205 cm</w:t>
            </w:r>
          </w:p>
          <w:p w:rsidR="007E3310" w:rsidRDefault="007E3310" w:rsidP="00F762D2">
            <w:pPr>
              <w:rPr>
                <w:rFonts w:asciiTheme="minorHAnsi" w:hAnsiTheme="minorHAnsi"/>
                <w:sz w:val="22"/>
                <w:szCs w:val="22"/>
              </w:rPr>
            </w:pPr>
            <w:r>
              <w:rPr>
                <w:rFonts w:asciiTheme="minorHAnsi" w:hAnsiTheme="minorHAnsi"/>
                <w:sz w:val="22"/>
                <w:szCs w:val="22"/>
              </w:rPr>
              <w:t>155 x 300 cm</w:t>
            </w:r>
          </w:p>
          <w:p w:rsidR="007E3310" w:rsidRDefault="007E3310" w:rsidP="00F762D2">
            <w:pPr>
              <w:rPr>
                <w:rFonts w:asciiTheme="minorHAnsi" w:hAnsiTheme="minorHAnsi"/>
                <w:sz w:val="22"/>
                <w:szCs w:val="22"/>
              </w:rPr>
            </w:pPr>
            <w:r>
              <w:rPr>
                <w:rFonts w:asciiTheme="minorHAnsi" w:hAnsiTheme="minorHAnsi"/>
                <w:sz w:val="22"/>
                <w:szCs w:val="22"/>
              </w:rPr>
              <w:t>205 x 205 cm</w:t>
            </w:r>
          </w:p>
          <w:p w:rsidR="007E3310" w:rsidRPr="00B36E43" w:rsidRDefault="007E3310" w:rsidP="00F762D2">
            <w:pPr>
              <w:rPr>
                <w:rFonts w:asciiTheme="minorHAnsi" w:hAnsiTheme="minorHAnsi"/>
                <w:sz w:val="22"/>
                <w:szCs w:val="22"/>
              </w:rPr>
            </w:pPr>
            <w:r>
              <w:rPr>
                <w:rFonts w:asciiTheme="minorHAnsi" w:hAnsiTheme="minorHAnsi"/>
                <w:sz w:val="22"/>
                <w:szCs w:val="22"/>
              </w:rPr>
              <w:t>205 x 300 cm</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Résistance aux chaises à roulettes</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EN 985</w:t>
            </w:r>
          </w:p>
        </w:tc>
        <w:tc>
          <w:tcPr>
            <w:tcW w:w="35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Convient pour une exposition permanente aux chaises à roulettes</w:t>
            </w:r>
          </w:p>
          <w:p w:rsidR="00657A1C" w:rsidRPr="00B36E43" w:rsidRDefault="00657A1C" w:rsidP="00F762D2">
            <w:pPr>
              <w:rPr>
                <w:rFonts w:asciiTheme="minorHAnsi" w:hAnsiTheme="minorHAnsi"/>
                <w:sz w:val="22"/>
                <w:szCs w:val="22"/>
              </w:rPr>
            </w:pPr>
            <w:r w:rsidRPr="00B36E43">
              <w:rPr>
                <w:rFonts w:asciiTheme="minorHAnsi" w:hAnsiTheme="minorHAnsi"/>
                <w:sz w:val="22"/>
                <w:szCs w:val="22"/>
              </w:rPr>
              <w:t>r = 2,5</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657A1C" w:rsidP="00F762D2">
            <w:pPr>
              <w:rPr>
                <w:rFonts w:asciiTheme="minorHAnsi" w:hAnsiTheme="minorHAnsi"/>
                <w:sz w:val="22"/>
                <w:szCs w:val="22"/>
              </w:rPr>
            </w:pPr>
          </w:p>
        </w:tc>
      </w:tr>
      <w:tr w:rsidR="00657A1C" w:rsidRPr="00CF20F2"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EN-ISO 105/B02</w:t>
            </w:r>
          </w:p>
        </w:tc>
        <w:tc>
          <w:tcPr>
            <w:tcW w:w="3543" w:type="dxa"/>
          </w:tcPr>
          <w:p w:rsidR="007E3310" w:rsidRPr="00CF20F2" w:rsidRDefault="007E3310" w:rsidP="00F762D2">
            <w:pPr>
              <w:rPr>
                <w:rFonts w:asciiTheme="minorHAnsi" w:hAnsiTheme="minorHAnsi"/>
                <w:sz w:val="22"/>
                <w:szCs w:val="22"/>
              </w:rPr>
            </w:pPr>
            <w:r>
              <w:rPr>
                <w:rFonts w:asciiTheme="minorHAnsi" w:hAnsiTheme="minorHAnsi"/>
                <w:sz w:val="22"/>
                <w:szCs w:val="22"/>
              </w:rPr>
              <w:t>7</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Frottement</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EN-ISO 105/X12</w:t>
            </w:r>
          </w:p>
        </w:tc>
        <w:tc>
          <w:tcPr>
            <w:tcW w:w="3543" w:type="dxa"/>
          </w:tcPr>
          <w:p w:rsidR="00657A1C" w:rsidRPr="00B36E43" w:rsidRDefault="007E3310" w:rsidP="00F762D2">
            <w:pPr>
              <w:rPr>
                <w:rFonts w:asciiTheme="minorHAnsi" w:hAnsiTheme="minorHAnsi"/>
                <w:sz w:val="22"/>
                <w:szCs w:val="22"/>
              </w:rPr>
            </w:pPr>
            <w:r w:rsidRPr="00B36E43">
              <w:rPr>
                <w:rFonts w:asciiTheme="minorHAnsi" w:hAnsiTheme="minorHAnsi"/>
                <w:sz w:val="22"/>
                <w:szCs w:val="22"/>
              </w:rPr>
              <w:t>4-5</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Eau</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EN-ISO 105/E01</w:t>
            </w:r>
          </w:p>
        </w:tc>
        <w:tc>
          <w:tcPr>
            <w:tcW w:w="35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4-5</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Tache à l’eau</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5</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7E3310" w:rsidP="00F762D2">
            <w:pPr>
              <w:rPr>
                <w:rFonts w:asciiTheme="minorHAnsi" w:hAnsiTheme="minorHAnsi"/>
                <w:sz w:val="22"/>
                <w:szCs w:val="22"/>
              </w:rPr>
            </w:pPr>
            <w:r>
              <w:rPr>
                <w:rFonts w:asciiTheme="minorHAnsi" w:hAnsiTheme="minorHAnsi"/>
                <w:sz w:val="22"/>
                <w:szCs w:val="22"/>
              </w:rPr>
              <w:t xml:space="preserve">Tapis </w:t>
            </w:r>
            <w:proofErr w:type="spellStart"/>
            <w:r>
              <w:rPr>
                <w:rFonts w:asciiTheme="minorHAnsi" w:hAnsiTheme="minorHAnsi"/>
                <w:sz w:val="22"/>
                <w:szCs w:val="22"/>
              </w:rPr>
              <w:t>tufté</w:t>
            </w:r>
            <w:proofErr w:type="spellEnd"/>
            <w:r>
              <w:rPr>
                <w:rFonts w:asciiTheme="minorHAnsi" w:hAnsiTheme="minorHAnsi"/>
                <w:sz w:val="22"/>
                <w:szCs w:val="22"/>
              </w:rPr>
              <w:t xml:space="preserve"> à velours coupé 1/8</w:t>
            </w:r>
            <w:r w:rsidR="00657A1C" w:rsidRPr="00B36E43">
              <w:rPr>
                <w:rFonts w:asciiTheme="minorHAnsi" w:hAnsiTheme="minorHAnsi"/>
                <w:sz w:val="22"/>
                <w:szCs w:val="22"/>
              </w:rPr>
              <w:t>”</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7E3310" w:rsidP="00F762D2">
            <w:pPr>
              <w:rPr>
                <w:rFonts w:asciiTheme="minorHAnsi" w:hAnsiTheme="minorHAnsi"/>
                <w:sz w:val="22"/>
                <w:szCs w:val="22"/>
              </w:rPr>
            </w:pPr>
            <w:r>
              <w:rPr>
                <w:rFonts w:asciiTheme="minorHAnsi" w:hAnsiTheme="minorHAnsi"/>
                <w:sz w:val="22"/>
                <w:szCs w:val="22"/>
              </w:rPr>
              <w:t xml:space="preserve">Impression à la demande logos, </w:t>
            </w:r>
            <w:r>
              <w:rPr>
                <w:rFonts w:asciiTheme="minorHAnsi" w:hAnsiTheme="minorHAnsi"/>
                <w:sz w:val="22"/>
                <w:szCs w:val="22"/>
              </w:rPr>
              <w:lastRenderedPageBreak/>
              <w:t>rendue haute définition</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lastRenderedPageBreak/>
              <w:t>Fibres</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657A1C" w:rsidP="007E3310">
            <w:pPr>
              <w:rPr>
                <w:rFonts w:asciiTheme="minorHAnsi" w:hAnsiTheme="minorHAnsi"/>
                <w:sz w:val="22"/>
                <w:szCs w:val="22"/>
              </w:rPr>
            </w:pPr>
            <w:r w:rsidRPr="00B36E43">
              <w:rPr>
                <w:rFonts w:asciiTheme="minorHAnsi" w:hAnsiTheme="minorHAnsi"/>
                <w:sz w:val="22"/>
                <w:szCs w:val="22"/>
              </w:rPr>
              <w:t>10</w:t>
            </w:r>
            <w:r>
              <w:rPr>
                <w:rFonts w:asciiTheme="minorHAnsi" w:hAnsiTheme="minorHAnsi"/>
                <w:sz w:val="22"/>
                <w:szCs w:val="22"/>
              </w:rPr>
              <w:t>0 %</w:t>
            </w:r>
            <w:r w:rsidR="007E3310">
              <w:rPr>
                <w:rFonts w:asciiTheme="minorHAnsi" w:hAnsiTheme="minorHAnsi"/>
                <w:sz w:val="22"/>
                <w:szCs w:val="22"/>
              </w:rPr>
              <w:t xml:space="preserve"> High Twist Nylon polyamide</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1er dossier</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657A1C" w:rsidP="00F762D2">
            <w:pPr>
              <w:rPr>
                <w:rFonts w:asciiTheme="minorHAnsi" w:hAnsiTheme="minorHAnsi"/>
                <w:sz w:val="22"/>
                <w:szCs w:val="22"/>
              </w:rPr>
            </w:pPr>
            <w:r>
              <w:rPr>
                <w:rFonts w:asciiTheme="minorHAnsi" w:hAnsiTheme="minorHAnsi"/>
                <w:sz w:val="22"/>
                <w:szCs w:val="22"/>
              </w:rPr>
              <w:t>Polyester non tissé</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Sous-couche</w:t>
            </w:r>
          </w:p>
        </w:tc>
        <w:tc>
          <w:tcPr>
            <w:tcW w:w="1843" w:type="dxa"/>
          </w:tcPr>
          <w:p w:rsidR="00657A1C" w:rsidRPr="00B36E43" w:rsidRDefault="00657A1C" w:rsidP="00F762D2">
            <w:pPr>
              <w:rPr>
                <w:rFonts w:asciiTheme="minorHAnsi" w:hAnsiTheme="minorHAnsi"/>
                <w:sz w:val="22"/>
                <w:szCs w:val="22"/>
              </w:rPr>
            </w:pPr>
          </w:p>
        </w:tc>
        <w:tc>
          <w:tcPr>
            <w:tcW w:w="35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Vinyle EVERFORT</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Masse surfacique totale</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ISO 8543</w:t>
            </w:r>
          </w:p>
        </w:tc>
        <w:tc>
          <w:tcPr>
            <w:tcW w:w="3543" w:type="dxa"/>
          </w:tcPr>
          <w:p w:rsidR="00657A1C" w:rsidRPr="00B36E43" w:rsidRDefault="00657A1C" w:rsidP="00F762D2">
            <w:pPr>
              <w:rPr>
                <w:rFonts w:asciiTheme="minorHAnsi" w:hAnsiTheme="minorHAnsi"/>
                <w:sz w:val="22"/>
                <w:szCs w:val="22"/>
              </w:rPr>
            </w:pPr>
            <w:r>
              <w:rPr>
                <w:rFonts w:asciiTheme="minorHAnsi" w:hAnsiTheme="minorHAnsi"/>
                <w:sz w:val="22"/>
                <w:szCs w:val="22"/>
              </w:rPr>
              <w:t>4.0</w:t>
            </w:r>
            <w:r w:rsidR="007E3310">
              <w:rPr>
                <w:rFonts w:asciiTheme="minorHAnsi" w:hAnsiTheme="minorHAnsi"/>
                <w:sz w:val="22"/>
                <w:szCs w:val="22"/>
              </w:rPr>
              <w:t>0</w:t>
            </w:r>
            <w:r w:rsidRPr="00B36E43">
              <w:rPr>
                <w:rFonts w:asciiTheme="minorHAnsi" w:hAnsiTheme="minorHAnsi"/>
                <w:sz w:val="22"/>
                <w:szCs w:val="22"/>
              </w:rPr>
              <w:t>0 gramme/m² environ</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ISO 8543</w:t>
            </w:r>
          </w:p>
        </w:tc>
        <w:tc>
          <w:tcPr>
            <w:tcW w:w="3543" w:type="dxa"/>
          </w:tcPr>
          <w:p w:rsidR="00657A1C" w:rsidRPr="00B36E43" w:rsidRDefault="007E3310" w:rsidP="00F762D2">
            <w:pPr>
              <w:rPr>
                <w:rFonts w:asciiTheme="minorHAnsi" w:hAnsiTheme="minorHAnsi"/>
                <w:sz w:val="22"/>
                <w:szCs w:val="22"/>
              </w:rPr>
            </w:pPr>
            <w:r>
              <w:rPr>
                <w:rFonts w:asciiTheme="minorHAnsi" w:hAnsiTheme="minorHAnsi"/>
                <w:sz w:val="22"/>
                <w:szCs w:val="22"/>
              </w:rPr>
              <w:t>68</w:t>
            </w:r>
            <w:r w:rsidR="00657A1C" w:rsidRPr="00B36E43">
              <w:rPr>
                <w:rFonts w:asciiTheme="minorHAnsi" w:hAnsiTheme="minorHAnsi"/>
                <w:sz w:val="22"/>
                <w:szCs w:val="22"/>
              </w:rPr>
              <w:t>0 gramme/m environ²</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Hauteur du velours</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ISO 1766</w:t>
            </w:r>
          </w:p>
        </w:tc>
        <w:tc>
          <w:tcPr>
            <w:tcW w:w="3543" w:type="dxa"/>
          </w:tcPr>
          <w:p w:rsidR="00657A1C" w:rsidRPr="00B36E43" w:rsidRDefault="007E3310" w:rsidP="00F762D2">
            <w:pPr>
              <w:rPr>
                <w:rFonts w:asciiTheme="minorHAnsi" w:hAnsiTheme="minorHAnsi"/>
                <w:sz w:val="22"/>
                <w:szCs w:val="22"/>
              </w:rPr>
            </w:pPr>
            <w:r>
              <w:rPr>
                <w:rFonts w:asciiTheme="minorHAnsi" w:hAnsiTheme="minorHAnsi"/>
                <w:sz w:val="22"/>
                <w:szCs w:val="22"/>
              </w:rPr>
              <w:t>5</w:t>
            </w:r>
            <w:r w:rsidR="00657A1C" w:rsidRPr="00B36E43">
              <w:rPr>
                <w:rFonts w:asciiTheme="minorHAnsi" w:hAnsiTheme="minorHAnsi"/>
                <w:sz w:val="22"/>
                <w:szCs w:val="22"/>
              </w:rPr>
              <w:t xml:space="preserve"> mm environ</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Densité du velours</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ISO 8543</w:t>
            </w:r>
          </w:p>
        </w:tc>
        <w:tc>
          <w:tcPr>
            <w:tcW w:w="3543" w:type="dxa"/>
          </w:tcPr>
          <w:p w:rsidR="00657A1C" w:rsidRPr="00B36E43" w:rsidRDefault="00657A1C" w:rsidP="007E3310">
            <w:pPr>
              <w:rPr>
                <w:rFonts w:asciiTheme="minorHAnsi" w:hAnsiTheme="minorHAnsi"/>
                <w:sz w:val="22"/>
                <w:szCs w:val="22"/>
              </w:rPr>
            </w:pPr>
            <w:r>
              <w:rPr>
                <w:rFonts w:asciiTheme="minorHAnsi" w:hAnsiTheme="minorHAnsi"/>
                <w:sz w:val="22"/>
                <w:szCs w:val="22"/>
              </w:rPr>
              <w:t>0,1</w:t>
            </w:r>
            <w:r w:rsidR="007E3310">
              <w:rPr>
                <w:rFonts w:asciiTheme="minorHAnsi" w:hAnsiTheme="minorHAnsi"/>
                <w:sz w:val="22"/>
                <w:szCs w:val="22"/>
              </w:rPr>
              <w:t>19</w:t>
            </w:r>
            <w:r w:rsidRPr="00B36E43">
              <w:rPr>
                <w:rFonts w:asciiTheme="minorHAnsi" w:hAnsiTheme="minorHAnsi"/>
                <w:sz w:val="22"/>
                <w:szCs w:val="22"/>
              </w:rPr>
              <w:t xml:space="preserve"> gramme/</w:t>
            </w:r>
            <w:r w:rsidR="007E3310">
              <w:rPr>
                <w:rFonts w:asciiTheme="minorHAnsi" w:hAnsiTheme="minorHAnsi"/>
                <w:sz w:val="22"/>
                <w:szCs w:val="22"/>
              </w:rPr>
              <w:t>cm³</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Nombre de points</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ISO 1763</w:t>
            </w:r>
          </w:p>
        </w:tc>
        <w:tc>
          <w:tcPr>
            <w:tcW w:w="3543" w:type="dxa"/>
          </w:tcPr>
          <w:p w:rsidR="00657A1C" w:rsidRPr="00B36E43" w:rsidRDefault="0098201A" w:rsidP="00F762D2">
            <w:pPr>
              <w:rPr>
                <w:rFonts w:asciiTheme="minorHAnsi" w:hAnsiTheme="minorHAnsi"/>
                <w:sz w:val="22"/>
                <w:szCs w:val="22"/>
              </w:rPr>
            </w:pPr>
            <w:r>
              <w:rPr>
                <w:rFonts w:asciiTheme="minorHAnsi" w:hAnsiTheme="minorHAnsi"/>
                <w:sz w:val="22"/>
                <w:szCs w:val="22"/>
              </w:rPr>
              <w:t>110</w:t>
            </w:r>
            <w:r w:rsidR="00657A1C" w:rsidRPr="00B36E43">
              <w:rPr>
                <w:rFonts w:asciiTheme="minorHAnsi" w:hAnsiTheme="minorHAnsi"/>
                <w:sz w:val="22"/>
                <w:szCs w:val="22"/>
              </w:rPr>
              <w:t>.</w:t>
            </w:r>
            <w:r w:rsidR="00657A1C">
              <w:rPr>
                <w:rFonts w:asciiTheme="minorHAnsi" w:hAnsiTheme="minorHAnsi"/>
                <w:sz w:val="22"/>
                <w:szCs w:val="22"/>
              </w:rPr>
              <w:t>0</w:t>
            </w:r>
            <w:r w:rsidR="00657A1C" w:rsidRPr="00B36E43">
              <w:rPr>
                <w:rFonts w:asciiTheme="minorHAnsi" w:hAnsiTheme="minorHAnsi"/>
                <w:sz w:val="22"/>
                <w:szCs w:val="22"/>
              </w:rPr>
              <w:t>00/m² environ</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Classement confort</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EN 1307</w:t>
            </w:r>
          </w:p>
        </w:tc>
        <w:tc>
          <w:tcPr>
            <w:tcW w:w="35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LC3</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EN 13501-1</w:t>
            </w:r>
          </w:p>
        </w:tc>
        <w:tc>
          <w:tcPr>
            <w:tcW w:w="35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657A1C" w:rsidRPr="00B36E43" w:rsidTr="00F762D2">
        <w:tc>
          <w:tcPr>
            <w:tcW w:w="3256"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Résistance au glissement</w:t>
            </w:r>
          </w:p>
        </w:tc>
        <w:tc>
          <w:tcPr>
            <w:tcW w:w="18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EN 13893</w:t>
            </w:r>
          </w:p>
        </w:tc>
        <w:tc>
          <w:tcPr>
            <w:tcW w:w="3543" w:type="dxa"/>
          </w:tcPr>
          <w:p w:rsidR="00657A1C" w:rsidRPr="00B36E43" w:rsidRDefault="00657A1C" w:rsidP="00F762D2">
            <w:pPr>
              <w:rPr>
                <w:rFonts w:asciiTheme="minorHAnsi" w:hAnsiTheme="minorHAnsi"/>
                <w:sz w:val="22"/>
                <w:szCs w:val="22"/>
              </w:rPr>
            </w:pPr>
            <w:r w:rsidRPr="00B36E43">
              <w:rPr>
                <w:rFonts w:asciiTheme="minorHAnsi" w:hAnsiTheme="minorHAnsi"/>
                <w:sz w:val="22"/>
                <w:szCs w:val="22"/>
              </w:rPr>
              <w:t>DS</w:t>
            </w:r>
          </w:p>
        </w:tc>
      </w:tr>
    </w:tbl>
    <w:p w:rsidR="00657A1C" w:rsidRDefault="00657A1C" w:rsidP="00D1062E">
      <w:pPr>
        <w:pStyle w:val="TxBrp4"/>
        <w:spacing w:line="240" w:lineRule="auto"/>
        <w:rPr>
          <w:rFonts w:asciiTheme="minorHAnsi" w:hAnsiTheme="minorHAnsi" w:cs="Arial"/>
          <w:sz w:val="22"/>
          <w:szCs w:val="22"/>
        </w:rPr>
      </w:pPr>
    </w:p>
    <w:p w:rsidR="007A59AB" w:rsidRPr="00657A1C" w:rsidRDefault="007A59AB" w:rsidP="00D1062E">
      <w:pPr>
        <w:pStyle w:val="TxBrp3"/>
        <w:spacing w:line="240" w:lineRule="auto"/>
        <w:rPr>
          <w:rFonts w:asciiTheme="minorHAnsi" w:hAnsiTheme="minorHAnsi" w:cs="Arial"/>
          <w:sz w:val="22"/>
          <w:szCs w:val="22"/>
          <w:u w:val="single"/>
        </w:rPr>
      </w:pPr>
    </w:p>
    <w:p w:rsidR="00D1062E" w:rsidRPr="00657A1C" w:rsidRDefault="00D1062E" w:rsidP="005D642F">
      <w:pPr>
        <w:widowControl/>
        <w:autoSpaceDE/>
        <w:autoSpaceDN/>
        <w:adjustRightInd/>
        <w:spacing w:after="160" w:line="259" w:lineRule="auto"/>
        <w:rPr>
          <w:rFonts w:asciiTheme="minorHAnsi" w:hAnsiTheme="minorHAnsi" w:cs="Arial"/>
          <w:sz w:val="22"/>
          <w:szCs w:val="22"/>
          <w:u w:val="single"/>
        </w:rPr>
      </w:pPr>
      <w:r w:rsidRPr="00657A1C">
        <w:rPr>
          <w:rFonts w:asciiTheme="minorHAnsi" w:hAnsiTheme="minorHAnsi"/>
          <w:sz w:val="22"/>
          <w:szCs w:val="22"/>
          <w:u w:val="single"/>
        </w:rPr>
        <w:t>Exécution et pose</w:t>
      </w:r>
    </w:p>
    <w:p w:rsidR="00050A3C" w:rsidRDefault="00050A3C" w:rsidP="00050A3C">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050A3C" w:rsidRPr="00EF1971" w:rsidRDefault="00050A3C" w:rsidP="00050A3C">
      <w:pPr>
        <w:pStyle w:val="TxBrp4"/>
        <w:spacing w:line="240" w:lineRule="auto"/>
        <w:rPr>
          <w:rFonts w:asciiTheme="minorHAnsi" w:hAnsiTheme="minorHAnsi" w:cs="Arial"/>
          <w:iCs/>
          <w:color w:val="000000"/>
          <w:sz w:val="22"/>
          <w:szCs w:val="22"/>
        </w:rPr>
      </w:pPr>
    </w:p>
    <w:p w:rsidR="00050A3C" w:rsidRPr="00EF1971" w:rsidRDefault="00050A3C" w:rsidP="00050A3C">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050A3C" w:rsidRDefault="00050A3C" w:rsidP="00050A3C">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050A3C" w:rsidRDefault="00050A3C" w:rsidP="00050A3C">
      <w:pPr>
        <w:pStyle w:val="TxBrp4"/>
        <w:spacing w:line="240" w:lineRule="auto"/>
        <w:rPr>
          <w:rFonts w:asciiTheme="minorHAnsi" w:hAnsiTheme="minorHAnsi"/>
          <w:sz w:val="22"/>
          <w:szCs w:val="22"/>
        </w:rPr>
      </w:pPr>
    </w:p>
    <w:p w:rsidR="00050A3C" w:rsidRPr="00EF1971" w:rsidRDefault="00050A3C" w:rsidP="00050A3C">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050A3C" w:rsidRPr="00EF1971" w:rsidRDefault="00050A3C" w:rsidP="00050A3C">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050A3C" w:rsidRPr="00EF1971" w:rsidRDefault="00050A3C" w:rsidP="00050A3C">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050A3C" w:rsidRPr="00EF1971" w:rsidRDefault="00050A3C" w:rsidP="00050A3C">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050A3C" w:rsidRPr="00EF1971" w:rsidRDefault="00050A3C" w:rsidP="00050A3C">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Le taux d’humidité maximum est de 2,0 % pour les chapes liées au ciment et de 0,5 % pour les chapes anhydrites.</w:t>
      </w:r>
    </w:p>
    <w:p w:rsidR="00050A3C" w:rsidRPr="00EF1971" w:rsidRDefault="00050A3C" w:rsidP="00050A3C">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050A3C" w:rsidRPr="00EF1971" w:rsidRDefault="00050A3C" w:rsidP="00050A3C">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w:t>
      </w:r>
      <w:r w:rsidRPr="00EF1971">
        <w:rPr>
          <w:rFonts w:asciiTheme="minorHAnsi" w:hAnsiTheme="minorHAnsi"/>
          <w:sz w:val="22"/>
          <w:szCs w:val="22"/>
        </w:rPr>
        <w:lastRenderedPageBreak/>
        <w:t>au minimum 24 heures après la pose du revêtement de sol ; augmenter la température de l’eau par incréments de maximum 5 °C par jour. Les joints de la chape doivent être repris dans le revêtement de sol conformément aux directives de la NIT 241 point 7.2.5.</w:t>
      </w:r>
    </w:p>
    <w:p w:rsidR="00050A3C" w:rsidRPr="00EF1971" w:rsidRDefault="00050A3C" w:rsidP="00050A3C">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chape doit également être propre, sec en permanence et exempt de graisse et de 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050A3C" w:rsidRPr="00EF1971" w:rsidRDefault="00050A3C" w:rsidP="00050A3C">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050A3C" w:rsidRPr="00EF1971" w:rsidRDefault="00050A3C" w:rsidP="00050A3C">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050A3C" w:rsidRPr="00EF1971" w:rsidRDefault="00050A3C" w:rsidP="00050A3C">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050A3C" w:rsidRPr="00EF1971" w:rsidRDefault="00050A3C" w:rsidP="00050A3C">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050A3C" w:rsidRPr="00EF1971" w:rsidRDefault="00050A3C" w:rsidP="00050A3C">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050A3C" w:rsidRPr="00EF1971" w:rsidRDefault="00050A3C" w:rsidP="00050A3C">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050A3C" w:rsidRPr="00EF1971" w:rsidRDefault="00050A3C" w:rsidP="00050A3C">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050A3C" w:rsidRPr="00EF1971" w:rsidRDefault="00050A3C" w:rsidP="00050A3C">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050A3C" w:rsidRPr="00EF1971" w:rsidRDefault="00050A3C" w:rsidP="00050A3C">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050A3C" w:rsidRPr="00EF1971" w:rsidRDefault="00050A3C" w:rsidP="00050A3C">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L’épaisseur de la couche et la résistance de l’égalisation sont fonction de la charge ponctuelle permanente et de la nature du trafic.</w:t>
      </w:r>
    </w:p>
    <w:p w:rsidR="00050A3C" w:rsidRPr="00EF1971" w:rsidRDefault="00050A3C" w:rsidP="00050A3C">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050A3C" w:rsidRPr="00EF1971" w:rsidRDefault="00050A3C" w:rsidP="00050A3C">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Utiliser dans une même pièce devant être de même couleur les mêmes numéros de lot et des </w:t>
      </w:r>
      <w:r w:rsidRPr="00EF1971">
        <w:rPr>
          <w:rFonts w:asciiTheme="minorHAnsi" w:hAnsiTheme="minorHAnsi"/>
          <w:sz w:val="22"/>
          <w:szCs w:val="22"/>
        </w:rPr>
        <w:lastRenderedPageBreak/>
        <w:t>numéros de rouleau consécutifs afin d’éviter les différences de couleur et de structure.</w:t>
      </w:r>
    </w:p>
    <w:p w:rsidR="00050A3C" w:rsidRPr="00EF1971" w:rsidRDefault="00050A3C" w:rsidP="00050A3C">
      <w:pPr>
        <w:pStyle w:val="Lijstalinea"/>
        <w:numPr>
          <w:ilvl w:val="0"/>
          <w:numId w:val="3"/>
        </w:numPr>
        <w:rPr>
          <w:rFonts w:asciiTheme="minorHAnsi" w:hAnsiTheme="minorHAnsi" w:cs="Arial"/>
          <w:sz w:val="22"/>
          <w:szCs w:val="22"/>
        </w:rPr>
      </w:pPr>
      <w:r w:rsidRPr="00EF1971">
        <w:rPr>
          <w:rFonts w:asciiTheme="minorHAnsi" w:hAnsiTheme="minorHAnsi" w:cs="Arial"/>
          <w:sz w:val="22"/>
          <w:szCs w:val="22"/>
        </w:rPr>
        <w:t>Laissez le tapis s’acclimater pendant 8 heures sur le lieu d’installation. Découpez le tapis sur mesure par le dossier au moyen d’une règle, ce qui permettra de préserver le velours. Le tapis a un sens, ce qui implique que tous les lés doivent être posés dans la même direction pour obtenir un beau résultat. La flèche figurant sur le dossier indique le sens de pose. Évitez les joints dans la zone de marche : mieux vaut un joint à gauche ou à droite du chemin qu’au milieu. Évitez également l’ensoleillement direct, les courants d’air et le rayonnement d’appareils de chauffage pendant l’installation. Pour des raisons de facilité, procédez de l’intérieur de la pièce vers le seuil de la porte d’entrée. Suivant la situation, il existe trois méthodes d’installation :</w:t>
      </w:r>
    </w:p>
    <w:p w:rsidR="00050A3C" w:rsidRPr="00EF1971" w:rsidRDefault="00050A3C" w:rsidP="00050A3C">
      <w:pPr>
        <w:pStyle w:val="Lijstalinea"/>
        <w:numPr>
          <w:ilvl w:val="3"/>
          <w:numId w:val="3"/>
        </w:numPr>
        <w:rPr>
          <w:rFonts w:asciiTheme="minorHAnsi" w:hAnsiTheme="minorHAnsi" w:cs="Arial"/>
          <w:sz w:val="22"/>
          <w:szCs w:val="22"/>
        </w:rPr>
      </w:pPr>
      <w:r w:rsidRPr="00EF1971">
        <w:rPr>
          <w:rFonts w:asciiTheme="minorHAnsi" w:hAnsiTheme="minorHAnsi" w:cs="Arial"/>
          <w:sz w:val="22"/>
          <w:szCs w:val="22"/>
        </w:rPr>
        <w:t>pose libre : c’est possible lorsque le matériau est d’une pièce et n’excède pas 2 x 3 m. Vous pouvez poser le tapis sur le sol ou l’encastrer. En cas de pose sur le sol, n’éliminez pas les bords en vinyle, car ils empêchent le tapis de gondoler à l’usage ;</w:t>
      </w:r>
    </w:p>
    <w:p w:rsidR="00050A3C" w:rsidRPr="0097780F" w:rsidRDefault="00050A3C" w:rsidP="00050A3C">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colle antidérapante : ici aussi, le matériau doit être d’une pièce et ne peut excéder 2 x 3 m ;</w:t>
      </w:r>
      <w:r>
        <w:rPr>
          <w:rFonts w:asciiTheme="minorHAnsi" w:hAnsiTheme="minorHAnsi" w:cs="Arial"/>
          <w:sz w:val="22"/>
          <w:szCs w:val="22"/>
        </w:rPr>
        <w:t xml:space="preserve"> </w:t>
      </w:r>
      <w:r w:rsidRPr="0097780F">
        <w:rPr>
          <w:rFonts w:asciiTheme="minorHAnsi" w:hAnsiTheme="minorHAnsi" w:cs="Arial"/>
          <w:sz w:val="22"/>
          <w:szCs w:val="22"/>
          <w:lang w:val="fr-FR"/>
        </w:rPr>
        <w:t>l’encollage  se fait avec un fixateur (colle de déménagement)</w:t>
      </w:r>
      <w:r>
        <w:rPr>
          <w:rFonts w:asciiTheme="minorHAnsi" w:hAnsiTheme="minorHAnsi" w:cs="Arial"/>
          <w:sz w:val="22"/>
          <w:szCs w:val="22"/>
          <w:lang w:val="fr-FR"/>
        </w:rPr>
        <w:t xml:space="preserve"> </w:t>
      </w:r>
      <w:r w:rsidRPr="0097780F">
        <w:rPr>
          <w:rFonts w:asciiTheme="minorHAnsi" w:hAnsiTheme="minorHAnsi" w:cs="Arial"/>
          <w:sz w:val="22"/>
          <w:szCs w:val="22"/>
          <w:lang w:val="fr-FR"/>
        </w:rPr>
        <w:t>suivant les consignes du fabricant.</w:t>
      </w:r>
      <w:r>
        <w:rPr>
          <w:rFonts w:asciiTheme="minorHAnsi" w:hAnsiTheme="minorHAnsi" w:cs="Arial"/>
          <w:sz w:val="22"/>
          <w:szCs w:val="22"/>
          <w:lang w:val="fr-FR"/>
        </w:rPr>
        <w:t xml:space="preserve"> </w:t>
      </w:r>
      <w:r w:rsidRPr="0097780F">
        <w:rPr>
          <w:rFonts w:asciiTheme="minorHAnsi" w:hAnsiTheme="minorHAnsi" w:cs="Arial"/>
          <w:sz w:val="22"/>
          <w:szCs w:val="22"/>
          <w:lang w:val="fr-FR"/>
        </w:rPr>
        <w:t>La colle est sur base acrylique à dispersion et présentant une densité spécifique de 1,04 kg/l et une consommation de 50-100 gr/m² pour sols fermés et de 100-150 gr/m² po</w:t>
      </w:r>
      <w:r>
        <w:rPr>
          <w:rFonts w:asciiTheme="minorHAnsi" w:hAnsiTheme="minorHAnsi" w:cs="Arial"/>
          <w:sz w:val="22"/>
          <w:szCs w:val="22"/>
          <w:lang w:val="fr-FR"/>
        </w:rPr>
        <w:t>u</w:t>
      </w:r>
      <w:r w:rsidRPr="0097780F">
        <w:rPr>
          <w:rFonts w:asciiTheme="minorHAnsi" w:hAnsiTheme="minorHAnsi" w:cs="Arial"/>
          <w:sz w:val="22"/>
          <w:szCs w:val="22"/>
          <w:lang w:val="fr-FR"/>
        </w:rPr>
        <w:t xml:space="preserve">r sols poreuses. </w:t>
      </w:r>
      <w:r>
        <w:rPr>
          <w:rFonts w:asciiTheme="minorHAnsi" w:hAnsiTheme="minorHAnsi"/>
          <w:sz w:val="22"/>
          <w:szCs w:val="22"/>
        </w:rPr>
        <w:t>I</w:t>
      </w:r>
      <w:r w:rsidRPr="0097780F">
        <w:rPr>
          <w:rFonts w:asciiTheme="minorHAnsi" w:hAnsiTheme="minorHAnsi"/>
          <w:sz w:val="22"/>
          <w:szCs w:val="22"/>
        </w:rPr>
        <w:t>l doit en outre porter le label EC1 Plus.</w:t>
      </w:r>
      <w:r>
        <w:rPr>
          <w:rFonts w:asciiTheme="minorHAnsi" w:hAnsiTheme="minorHAnsi"/>
          <w:sz w:val="22"/>
          <w:szCs w:val="22"/>
        </w:rPr>
        <w:t xml:space="preserve"> </w:t>
      </w:r>
      <w:r w:rsidRPr="0097780F">
        <w:rPr>
          <w:rFonts w:asciiTheme="minorHAnsi" w:hAnsiTheme="minorHAnsi" w:cs="Arial"/>
          <w:sz w:val="22"/>
          <w:szCs w:val="22"/>
        </w:rPr>
        <w:t>Le lit de colle doit être devenu totalement transparent avant la pose du tapis de propreté, qui doit ensuite être cylindrées soigneusement</w:t>
      </w:r>
    </w:p>
    <w:p w:rsidR="00050A3C" w:rsidRPr="0097780F" w:rsidRDefault="00050A3C" w:rsidP="00050A3C">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collage intégral : obligatoire si plusieurs pièces sont posées ou si le tapis fait plus de 2 x 3 m.</w:t>
      </w:r>
      <w:r>
        <w:rPr>
          <w:rFonts w:asciiTheme="minorHAnsi" w:hAnsiTheme="minorHAnsi" w:cs="Arial"/>
          <w:sz w:val="22"/>
          <w:szCs w:val="22"/>
        </w:rPr>
        <w:t xml:space="preserve"> </w:t>
      </w:r>
      <w:r w:rsidRPr="0097780F">
        <w:rPr>
          <w:rFonts w:asciiTheme="minorHAnsi" w:hAnsiTheme="minorHAnsi"/>
          <w:sz w:val="22"/>
          <w:szCs w:val="22"/>
        </w:rPr>
        <w:t xml:space="preserve">Le </w:t>
      </w:r>
      <w:r w:rsidRPr="0097780F">
        <w:rPr>
          <w:rFonts w:asciiTheme="minorHAnsi" w:hAnsiTheme="minorHAnsi" w:cs="Arial"/>
          <w:sz w:val="22"/>
          <w:szCs w:val="22"/>
        </w:rPr>
        <w:t>tapis de propreté</w:t>
      </w:r>
      <w:r w:rsidRPr="0097780F">
        <w:rPr>
          <w:rFonts w:asciiTheme="minorHAnsi" w:hAnsiTheme="minorHAnsi"/>
          <w:sz w:val="22"/>
          <w:szCs w:val="22"/>
        </w:rPr>
        <w:t xml:space="preserve"> doit être collé avec un type de colle à base de dispersion acrylique de qualité présentant un poids spécifique de 1,27 kg/l et un rendement de 225-275 g</w:t>
      </w:r>
      <w:r>
        <w:rPr>
          <w:rFonts w:asciiTheme="minorHAnsi" w:hAnsiTheme="minorHAnsi"/>
          <w:sz w:val="22"/>
          <w:szCs w:val="22"/>
        </w:rPr>
        <w:t>r</w:t>
      </w:r>
      <w:r w:rsidRPr="0097780F">
        <w:rPr>
          <w:rFonts w:asciiTheme="minorHAnsi" w:hAnsiTheme="minorHAnsi"/>
          <w:sz w:val="22"/>
          <w:szCs w:val="22"/>
        </w:rPr>
        <w:t xml:space="preserve">/m² ; il doit en outre porter le label EC1+ conformément à EN 13999-2/4 ainsi que le label « Der </w:t>
      </w:r>
      <w:proofErr w:type="spellStart"/>
      <w:r w:rsidRPr="0097780F">
        <w:rPr>
          <w:rFonts w:asciiTheme="minorHAnsi" w:hAnsiTheme="minorHAnsi"/>
          <w:sz w:val="22"/>
          <w:szCs w:val="22"/>
        </w:rPr>
        <w:t>Blaue</w:t>
      </w:r>
      <w:proofErr w:type="spellEnd"/>
      <w:r w:rsidRPr="0097780F">
        <w:rPr>
          <w:rFonts w:asciiTheme="minorHAnsi" w:hAnsiTheme="minorHAnsi"/>
          <w:sz w:val="22"/>
          <w:szCs w:val="22"/>
        </w:rPr>
        <w:t xml:space="preserve"> Engel ». Cette colle est toujours appliquée avec une denture A2 et doit être approuvée par le fabricant du</w:t>
      </w:r>
      <w:r w:rsidRPr="0097780F">
        <w:rPr>
          <w:rFonts w:asciiTheme="minorHAnsi" w:hAnsiTheme="minorHAnsi" w:cs="Arial"/>
          <w:sz w:val="22"/>
          <w:szCs w:val="22"/>
        </w:rPr>
        <w:t xml:space="preserve"> tapis de propreté</w:t>
      </w:r>
      <w:r w:rsidRPr="0097780F">
        <w:rPr>
          <w:rFonts w:asciiTheme="minorHAnsi" w:hAnsiTheme="minorHAnsi"/>
          <w:sz w:val="22"/>
          <w:szCs w:val="22"/>
        </w:rPr>
        <w:t xml:space="preserve"> .Le </w:t>
      </w:r>
      <w:r w:rsidRPr="0097780F">
        <w:rPr>
          <w:rFonts w:asciiTheme="minorHAnsi" w:hAnsiTheme="minorHAnsi" w:cs="Arial"/>
          <w:sz w:val="22"/>
          <w:szCs w:val="22"/>
        </w:rPr>
        <w:t xml:space="preserve">tapis de propreté </w:t>
      </w:r>
      <w:r w:rsidRPr="0097780F">
        <w:rPr>
          <w:rFonts w:asciiTheme="minorHAnsi" w:hAnsiTheme="minorHAnsi"/>
          <w:sz w:val="22"/>
          <w:szCs w:val="22"/>
        </w:rPr>
        <w:t xml:space="preserve">doit être posé dans un lit de colle à moitié sec. </w:t>
      </w:r>
    </w:p>
    <w:p w:rsidR="00050A3C" w:rsidRPr="00EF1971" w:rsidRDefault="00050A3C" w:rsidP="00050A3C">
      <w:pPr>
        <w:pStyle w:val="TxBrp5"/>
        <w:spacing w:line="240" w:lineRule="auto"/>
        <w:ind w:left="1073" w:firstLine="0"/>
        <w:rPr>
          <w:rFonts w:asciiTheme="minorHAnsi" w:hAnsiTheme="minorHAnsi" w:cs="Arial"/>
          <w:sz w:val="22"/>
          <w:szCs w:val="22"/>
        </w:rPr>
      </w:pPr>
      <w:r w:rsidRPr="00EF1971">
        <w:rPr>
          <w:rFonts w:asciiTheme="minorHAnsi" w:hAnsiTheme="minorHAnsi"/>
          <w:sz w:val="22"/>
          <w:szCs w:val="22"/>
        </w:rPr>
        <w:t>Le roulage du</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se fait avec un rouleau d’env. 65 kg dans deux sens, d’abord dans la largeur et ensuite dans la longueur des lés posés. Si le</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ne peut pas être roulé avec le gros rouleau, on utilisera un rouleau manuel. </w:t>
      </w:r>
    </w:p>
    <w:p w:rsidR="00050A3C" w:rsidRPr="00EF1971" w:rsidRDefault="00050A3C" w:rsidP="00050A3C">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CE660B" w:rsidRPr="00050A3C" w:rsidRDefault="00050A3C" w:rsidP="00050A3C">
      <w:pPr>
        <w:pStyle w:val="Lijstalinea"/>
        <w:numPr>
          <w:ilvl w:val="0"/>
          <w:numId w:val="3"/>
        </w:numPr>
        <w:tabs>
          <w:tab w:val="left" w:pos="323"/>
        </w:tabs>
        <w:rPr>
          <w:rFonts w:asciiTheme="minorHAnsi" w:hAnsiTheme="minorHAnsi"/>
          <w:sz w:val="22"/>
          <w:szCs w:val="22"/>
        </w:rPr>
      </w:pPr>
      <w:r w:rsidRPr="00050A3C">
        <w:rPr>
          <w:rFonts w:asciiTheme="minorHAnsi" w:hAnsiTheme="minorHAnsi"/>
          <w:sz w:val="22"/>
          <w:szCs w:val="22"/>
        </w:rPr>
        <w:t>Nettoyage</w:t>
      </w:r>
      <w:bookmarkStart w:id="0" w:name="_GoBack"/>
      <w:bookmarkEnd w:id="0"/>
      <w:r w:rsidRPr="00050A3C">
        <w:rPr>
          <w:rFonts w:asciiTheme="minorHAnsi" w:hAnsiTheme="minorHAnsi"/>
          <w:sz w:val="22"/>
          <w:szCs w:val="22"/>
        </w:rPr>
        <w:t xml:space="preserve"> du revêtement de sol, y compris l’élimination de la colle excédentaire.</w:t>
      </w:r>
    </w:p>
    <w:p w:rsidR="00050A3C" w:rsidRDefault="00050A3C" w:rsidP="00050A3C">
      <w:pPr>
        <w:tabs>
          <w:tab w:val="left" w:pos="323"/>
        </w:tabs>
        <w:rPr>
          <w:rFonts w:asciiTheme="minorHAnsi" w:hAnsiTheme="minorHAnsi" w:cs="Arial"/>
          <w:sz w:val="22"/>
          <w:szCs w:val="22"/>
          <w:u w:val="single"/>
        </w:rPr>
      </w:pPr>
    </w:p>
    <w:p w:rsidR="00050A3C" w:rsidRPr="00657A1C" w:rsidRDefault="00050A3C" w:rsidP="00050A3C">
      <w:pPr>
        <w:tabs>
          <w:tab w:val="left" w:pos="323"/>
        </w:tabs>
        <w:rPr>
          <w:rFonts w:asciiTheme="minorHAnsi" w:hAnsiTheme="minorHAnsi" w:cs="Arial"/>
          <w:sz w:val="22"/>
          <w:szCs w:val="22"/>
          <w:u w:val="single"/>
        </w:rPr>
      </w:pPr>
    </w:p>
    <w:p w:rsidR="00050A3C" w:rsidRDefault="00050A3C" w:rsidP="00050A3C">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050A3C" w:rsidRPr="00EF1971" w:rsidRDefault="00050A3C" w:rsidP="00050A3C">
      <w:pPr>
        <w:pStyle w:val="TxBrp4"/>
        <w:spacing w:line="240" w:lineRule="auto"/>
        <w:rPr>
          <w:rFonts w:asciiTheme="minorHAnsi" w:hAnsiTheme="minorHAnsi" w:cs="Arial"/>
          <w:sz w:val="22"/>
          <w:szCs w:val="22"/>
          <w:u w:val="single"/>
        </w:rPr>
      </w:pPr>
    </w:p>
    <w:p w:rsidR="00050A3C" w:rsidRPr="00EF1971" w:rsidRDefault="00050A3C" w:rsidP="00050A3C">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050A3C" w:rsidRDefault="00050A3C" w:rsidP="00050A3C">
      <w:pPr>
        <w:rPr>
          <w:rFonts w:asciiTheme="minorHAnsi" w:hAnsiTheme="minorHAnsi"/>
          <w:sz w:val="22"/>
          <w:szCs w:val="22"/>
          <w:u w:val="single"/>
        </w:rPr>
      </w:pPr>
    </w:p>
    <w:p w:rsidR="00050A3C" w:rsidRDefault="00050A3C" w:rsidP="00050A3C">
      <w:pPr>
        <w:rPr>
          <w:rFonts w:asciiTheme="minorHAnsi" w:hAnsiTheme="minorHAnsi"/>
          <w:sz w:val="22"/>
          <w:szCs w:val="22"/>
          <w:u w:val="single"/>
        </w:rPr>
      </w:pPr>
    </w:p>
    <w:p w:rsidR="00050A3C" w:rsidRDefault="00050A3C">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rsidR="00050A3C" w:rsidRDefault="00050A3C" w:rsidP="00050A3C">
      <w:pPr>
        <w:rPr>
          <w:rFonts w:asciiTheme="minorHAnsi" w:hAnsiTheme="minorHAnsi"/>
          <w:sz w:val="22"/>
          <w:szCs w:val="22"/>
          <w:u w:val="single"/>
        </w:rPr>
      </w:pPr>
      <w:r w:rsidRPr="00EF1971">
        <w:rPr>
          <w:rFonts w:asciiTheme="minorHAnsi" w:hAnsiTheme="minorHAnsi"/>
          <w:sz w:val="22"/>
          <w:szCs w:val="22"/>
          <w:u w:val="single"/>
        </w:rPr>
        <w:lastRenderedPageBreak/>
        <w:t>Entretien et soin du revêtement de sol</w:t>
      </w:r>
    </w:p>
    <w:p w:rsidR="00050A3C" w:rsidRPr="00EF1971" w:rsidRDefault="00050A3C" w:rsidP="00050A3C">
      <w:pPr>
        <w:rPr>
          <w:rFonts w:asciiTheme="minorHAnsi" w:hAnsiTheme="minorHAnsi" w:cs="Arial"/>
          <w:sz w:val="22"/>
          <w:szCs w:val="22"/>
          <w:u w:val="single"/>
        </w:rPr>
      </w:pPr>
    </w:p>
    <w:p w:rsidR="00050A3C" w:rsidRPr="00EF1971" w:rsidRDefault="00050A3C" w:rsidP="00050A3C">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rsidR="00D1062E" w:rsidRPr="00657A1C" w:rsidRDefault="00D1062E" w:rsidP="00050A3C">
      <w:pPr>
        <w:pStyle w:val="TxBrp4"/>
        <w:spacing w:line="240" w:lineRule="auto"/>
        <w:rPr>
          <w:rFonts w:asciiTheme="minorHAnsi" w:hAnsiTheme="minorHAnsi" w:cs="Arial"/>
          <w:sz w:val="22"/>
          <w:szCs w:val="22"/>
        </w:rPr>
      </w:pPr>
    </w:p>
    <w:sectPr w:rsidR="00D1062E" w:rsidRPr="00657A1C"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50" w:rsidRDefault="00976450" w:rsidP="00212DC4">
      <w:r>
        <w:separator/>
      </w:r>
    </w:p>
  </w:endnote>
  <w:endnote w:type="continuationSeparator" w:id="0">
    <w:p w:rsidR="00976450" w:rsidRDefault="0097645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50" w:rsidRDefault="00976450" w:rsidP="00212DC4">
      <w:r>
        <w:separator/>
      </w:r>
    </w:p>
  </w:footnote>
  <w:footnote w:type="continuationSeparator" w:id="0">
    <w:p w:rsidR="00976450" w:rsidRDefault="00976450"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657A1C">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3CF287E6"/>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0A3C"/>
    <w:rsid w:val="000571AF"/>
    <w:rsid w:val="000807D1"/>
    <w:rsid w:val="00083FA7"/>
    <w:rsid w:val="00084748"/>
    <w:rsid w:val="000A6BC8"/>
    <w:rsid w:val="000B5DCC"/>
    <w:rsid w:val="000C3BA1"/>
    <w:rsid w:val="00113575"/>
    <w:rsid w:val="00127BE8"/>
    <w:rsid w:val="00171DF6"/>
    <w:rsid w:val="00182A72"/>
    <w:rsid w:val="001933D2"/>
    <w:rsid w:val="001A32BA"/>
    <w:rsid w:val="001A3438"/>
    <w:rsid w:val="001A49A5"/>
    <w:rsid w:val="001C7F8A"/>
    <w:rsid w:val="001D0C4B"/>
    <w:rsid w:val="001D535B"/>
    <w:rsid w:val="00212DC4"/>
    <w:rsid w:val="00251DCD"/>
    <w:rsid w:val="002B5041"/>
    <w:rsid w:val="002D2D39"/>
    <w:rsid w:val="002F25D5"/>
    <w:rsid w:val="00302327"/>
    <w:rsid w:val="00313B65"/>
    <w:rsid w:val="003269F8"/>
    <w:rsid w:val="0035147D"/>
    <w:rsid w:val="00382EBE"/>
    <w:rsid w:val="00383A72"/>
    <w:rsid w:val="0038549E"/>
    <w:rsid w:val="00392D52"/>
    <w:rsid w:val="003935AC"/>
    <w:rsid w:val="003B2F95"/>
    <w:rsid w:val="003D13E3"/>
    <w:rsid w:val="00410BB1"/>
    <w:rsid w:val="00413317"/>
    <w:rsid w:val="004262C0"/>
    <w:rsid w:val="004766EE"/>
    <w:rsid w:val="00482C5D"/>
    <w:rsid w:val="004C59C1"/>
    <w:rsid w:val="004D2331"/>
    <w:rsid w:val="004D3587"/>
    <w:rsid w:val="004E6880"/>
    <w:rsid w:val="004F71DA"/>
    <w:rsid w:val="005007D8"/>
    <w:rsid w:val="00515BA8"/>
    <w:rsid w:val="00543E38"/>
    <w:rsid w:val="00546268"/>
    <w:rsid w:val="00547654"/>
    <w:rsid w:val="0056333E"/>
    <w:rsid w:val="00575EB6"/>
    <w:rsid w:val="005A4428"/>
    <w:rsid w:val="005A451D"/>
    <w:rsid w:val="005A5A2B"/>
    <w:rsid w:val="005B0B5F"/>
    <w:rsid w:val="005B7F89"/>
    <w:rsid w:val="005C03C5"/>
    <w:rsid w:val="005C41CC"/>
    <w:rsid w:val="005D4ECD"/>
    <w:rsid w:val="005D642F"/>
    <w:rsid w:val="00611BE2"/>
    <w:rsid w:val="006320B8"/>
    <w:rsid w:val="00640B2B"/>
    <w:rsid w:val="0065164A"/>
    <w:rsid w:val="00657A1C"/>
    <w:rsid w:val="00676BF2"/>
    <w:rsid w:val="006B7243"/>
    <w:rsid w:val="006E30C1"/>
    <w:rsid w:val="006E71DD"/>
    <w:rsid w:val="006F17EC"/>
    <w:rsid w:val="006F2C31"/>
    <w:rsid w:val="0070281C"/>
    <w:rsid w:val="00741727"/>
    <w:rsid w:val="0075624D"/>
    <w:rsid w:val="007A59AB"/>
    <w:rsid w:val="007B38CB"/>
    <w:rsid w:val="007D1F8B"/>
    <w:rsid w:val="007D1FBB"/>
    <w:rsid w:val="007E3310"/>
    <w:rsid w:val="007E67BB"/>
    <w:rsid w:val="00875E58"/>
    <w:rsid w:val="00877F94"/>
    <w:rsid w:val="00884658"/>
    <w:rsid w:val="008B04F1"/>
    <w:rsid w:val="008C2BDB"/>
    <w:rsid w:val="008E7408"/>
    <w:rsid w:val="00933313"/>
    <w:rsid w:val="0095506D"/>
    <w:rsid w:val="0097215F"/>
    <w:rsid w:val="00976450"/>
    <w:rsid w:val="0098201A"/>
    <w:rsid w:val="00984148"/>
    <w:rsid w:val="009A6256"/>
    <w:rsid w:val="009F1FB4"/>
    <w:rsid w:val="00A22411"/>
    <w:rsid w:val="00A40E2D"/>
    <w:rsid w:val="00A42F6F"/>
    <w:rsid w:val="00A769BB"/>
    <w:rsid w:val="00A92ADA"/>
    <w:rsid w:val="00A92F5D"/>
    <w:rsid w:val="00AE3CBB"/>
    <w:rsid w:val="00AE718A"/>
    <w:rsid w:val="00B36D89"/>
    <w:rsid w:val="00B53BE5"/>
    <w:rsid w:val="00B57CB3"/>
    <w:rsid w:val="00BC3522"/>
    <w:rsid w:val="00BC3658"/>
    <w:rsid w:val="00C72C65"/>
    <w:rsid w:val="00C73A89"/>
    <w:rsid w:val="00C77642"/>
    <w:rsid w:val="00C82E42"/>
    <w:rsid w:val="00C932AA"/>
    <w:rsid w:val="00CA7A5A"/>
    <w:rsid w:val="00CC69B2"/>
    <w:rsid w:val="00CE660B"/>
    <w:rsid w:val="00CF23C2"/>
    <w:rsid w:val="00D1062E"/>
    <w:rsid w:val="00D56FC6"/>
    <w:rsid w:val="00D954AC"/>
    <w:rsid w:val="00DE6511"/>
    <w:rsid w:val="00E31647"/>
    <w:rsid w:val="00E474F8"/>
    <w:rsid w:val="00E50A2C"/>
    <w:rsid w:val="00E6104C"/>
    <w:rsid w:val="00E872A2"/>
    <w:rsid w:val="00EA2ECB"/>
    <w:rsid w:val="00EC6CB8"/>
    <w:rsid w:val="00EE53AF"/>
    <w:rsid w:val="00EF2C7C"/>
    <w:rsid w:val="00F13CA1"/>
    <w:rsid w:val="00F1614A"/>
    <w:rsid w:val="00F2367A"/>
    <w:rsid w:val="00F35C2C"/>
    <w:rsid w:val="00F46526"/>
    <w:rsid w:val="00F6628E"/>
    <w:rsid w:val="00FF1A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200627435">
      <w:bodyDiv w:val="1"/>
      <w:marLeft w:val="0"/>
      <w:marRight w:val="0"/>
      <w:marTop w:val="0"/>
      <w:marBottom w:val="0"/>
      <w:divBdr>
        <w:top w:val="none" w:sz="0" w:space="0" w:color="auto"/>
        <w:left w:val="none" w:sz="0" w:space="0" w:color="auto"/>
        <w:bottom w:val="none" w:sz="0" w:space="0" w:color="auto"/>
        <w:right w:val="none" w:sz="0" w:space="0" w:color="auto"/>
      </w:divBdr>
    </w:div>
    <w:div w:id="1546867080">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1971789387">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5</Pages>
  <Words>1651</Words>
  <Characters>9082</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74</cp:revision>
  <cp:lastPrinted>2016-08-29T14:22:00Z</cp:lastPrinted>
  <dcterms:created xsi:type="dcterms:W3CDTF">2016-09-09T15:02:00Z</dcterms:created>
  <dcterms:modified xsi:type="dcterms:W3CDTF">2017-06-29T08:17:00Z</dcterms:modified>
</cp:coreProperties>
</file>